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cs="仿宋_GB2312+FPEF" w:asciiTheme="majorEastAsia" w:hAnsiTheme="majorEastAsia" w:eastAsiaTheme="majorEastAsia"/>
          <w:b/>
          <w:kern w:val="0"/>
          <w:sz w:val="28"/>
          <w:szCs w:val="24"/>
        </w:rPr>
      </w:pPr>
      <w:r>
        <w:rPr>
          <w:rFonts w:hint="eastAsia" w:cs="仿宋_GB2312+FPEF" w:asciiTheme="majorEastAsia" w:hAnsiTheme="majorEastAsia" w:eastAsiaTheme="majorEastAsia"/>
          <w:b/>
          <w:kern w:val="0"/>
          <w:sz w:val="28"/>
          <w:szCs w:val="24"/>
        </w:rPr>
        <w:t>关于</w:t>
      </w:r>
      <w:r>
        <w:rPr>
          <w:rFonts w:hint="eastAsia" w:cs="仿宋_GB2312+FPEF" w:asciiTheme="majorEastAsia" w:hAnsiTheme="majorEastAsia" w:eastAsiaTheme="majorEastAsia"/>
          <w:b/>
          <w:color w:val="auto"/>
          <w:kern w:val="0"/>
          <w:sz w:val="28"/>
          <w:szCs w:val="24"/>
          <w:lang w:eastAsia="zh-CN"/>
        </w:rPr>
        <w:t>安盛天平</w:t>
      </w:r>
      <w:r>
        <w:rPr>
          <w:rFonts w:hint="eastAsia" w:cs="仿宋_GB2312+FPEF" w:asciiTheme="majorEastAsia" w:hAnsiTheme="majorEastAsia" w:eastAsiaTheme="majorEastAsia"/>
          <w:b/>
          <w:kern w:val="0"/>
          <w:sz w:val="28"/>
          <w:szCs w:val="24"/>
        </w:rPr>
        <w:t>财产保险股份有限公司广西地区</w:t>
      </w:r>
    </w:p>
    <w:p>
      <w:pPr>
        <w:jc w:val="center"/>
        <w:rPr>
          <w:rFonts w:cs="仿宋_GB2312+FPEF" w:asciiTheme="majorEastAsia" w:hAnsiTheme="majorEastAsia" w:eastAsiaTheme="majorEastAsia"/>
          <w:b/>
          <w:kern w:val="0"/>
          <w:sz w:val="28"/>
          <w:szCs w:val="24"/>
        </w:rPr>
      </w:pPr>
      <w:r>
        <w:rPr>
          <w:rFonts w:hint="eastAsia" w:cs="仿宋_GB2312+FPEF" w:asciiTheme="majorEastAsia" w:hAnsiTheme="majorEastAsia" w:eastAsiaTheme="majorEastAsia"/>
          <w:b/>
          <w:kern w:val="0"/>
          <w:sz w:val="28"/>
          <w:szCs w:val="24"/>
        </w:rPr>
        <w:t>自主定价改革试点期间机动车综合商业保险等产品条款费率的公示</w:t>
      </w:r>
    </w:p>
    <w:p>
      <w:pPr>
        <w:jc w:val="center"/>
        <w:rPr>
          <w:rFonts w:cs="仿宋_GB2312+FPEF" w:asciiTheme="majorEastAsia" w:hAnsiTheme="majorEastAsia" w:eastAsiaTheme="majorEastAsia"/>
          <w:b/>
          <w:kern w:val="0"/>
          <w:sz w:val="28"/>
          <w:szCs w:val="24"/>
        </w:rPr>
      </w:pPr>
    </w:p>
    <w:p>
      <w:pPr>
        <w:autoSpaceDE w:val="0"/>
        <w:autoSpaceDN w:val="0"/>
        <w:adjustRightInd w:val="0"/>
        <w:spacing w:line="360" w:lineRule="auto"/>
        <w:ind w:firstLine="480" w:firstLineChars="200"/>
        <w:jc w:val="left"/>
        <w:rPr>
          <w:rFonts w:hint="eastAsia" w:cs="仿宋_GB2312+FPEF" w:asciiTheme="minorEastAsia" w:hAnsiTheme="minorEastAsia"/>
          <w:kern w:val="0"/>
          <w:sz w:val="24"/>
          <w:szCs w:val="24"/>
        </w:rPr>
      </w:pPr>
      <w:r>
        <w:rPr>
          <w:rFonts w:hint="eastAsia" w:cs="仿宋_GB2312+FPEF" w:asciiTheme="minorEastAsia" w:hAnsiTheme="minorEastAsia"/>
          <w:kern w:val="0"/>
          <w:sz w:val="24"/>
          <w:szCs w:val="24"/>
        </w:rPr>
        <w:t>根据中国银保监会《中国银保监会关于</w:t>
      </w:r>
      <w:r>
        <w:rPr>
          <w:rFonts w:hint="eastAsia" w:cs="仿宋_GB2312+FPEF" w:asciiTheme="minorEastAsia" w:hAnsiTheme="minorEastAsia"/>
          <w:b w:val="0"/>
          <w:bCs/>
          <w:color w:val="auto"/>
          <w:kern w:val="0"/>
          <w:sz w:val="24"/>
          <w:szCs w:val="24"/>
          <w:lang w:eastAsia="zh-CN"/>
        </w:rPr>
        <w:t>安盛天平</w:t>
      </w:r>
      <w:r>
        <w:rPr>
          <w:rFonts w:hint="eastAsia" w:cs="仿宋_GB2312+FPEF" w:asciiTheme="minorEastAsia" w:hAnsiTheme="minorEastAsia"/>
          <w:color w:val="auto"/>
          <w:kern w:val="0"/>
          <w:sz w:val="24"/>
          <w:szCs w:val="24"/>
        </w:rPr>
        <w:t>财产保险股份有限公司机动车综合商业保险等条款和费率的批复》（银保监许可〔2018〕</w:t>
      </w:r>
      <w:r>
        <w:rPr>
          <w:rFonts w:hint="eastAsia" w:cs="仿宋_GB2312+FPEF" w:asciiTheme="minorEastAsia" w:hAnsiTheme="minorEastAsia"/>
          <w:b w:val="0"/>
          <w:bCs/>
          <w:color w:val="auto"/>
          <w:kern w:val="0"/>
          <w:sz w:val="24"/>
          <w:szCs w:val="24"/>
          <w:lang w:val="en-US" w:eastAsia="zh-CN"/>
        </w:rPr>
        <w:t>764</w:t>
      </w:r>
      <w:r>
        <w:rPr>
          <w:rFonts w:hint="eastAsia" w:cs="仿宋_GB2312+FPEF" w:asciiTheme="minorEastAsia" w:hAnsiTheme="minorEastAsia"/>
          <w:color w:val="auto"/>
          <w:kern w:val="0"/>
          <w:sz w:val="24"/>
          <w:szCs w:val="24"/>
        </w:rPr>
        <w:t>号</w:t>
      </w:r>
      <w:r>
        <w:rPr>
          <w:rFonts w:hint="eastAsia" w:cs="仿宋_GB2312+FPEF" w:asciiTheme="minorEastAsia" w:hAnsiTheme="minorEastAsia"/>
          <w:kern w:val="0"/>
          <w:sz w:val="24"/>
          <w:szCs w:val="24"/>
        </w:rPr>
        <w:t>）批文，本公司获批在自主定价改革试点期间按照批复条款、费率开展机动车综合商业保险等产品经营。</w:t>
      </w:r>
    </w:p>
    <w:p>
      <w:pPr>
        <w:autoSpaceDE w:val="0"/>
        <w:autoSpaceDN w:val="0"/>
        <w:adjustRightInd w:val="0"/>
        <w:spacing w:line="360" w:lineRule="auto"/>
        <w:ind w:firstLine="480" w:firstLineChars="200"/>
        <w:jc w:val="left"/>
        <w:rPr>
          <w:rFonts w:hint="eastAsia" w:cs="仿宋_GB2312+FPEF" w:asciiTheme="minorEastAsia" w:hAnsiTheme="minorEastAsia"/>
          <w:kern w:val="0"/>
          <w:sz w:val="24"/>
          <w:szCs w:val="24"/>
        </w:rPr>
      </w:pPr>
      <w:r>
        <w:rPr>
          <w:rFonts w:hint="eastAsia" w:cs="仿宋_GB2312+FPEF" w:asciiTheme="minorEastAsia" w:hAnsiTheme="minorEastAsia"/>
          <w:kern w:val="0"/>
          <w:sz w:val="24"/>
          <w:szCs w:val="24"/>
        </w:rPr>
        <w:t>一、产品条款：中国保险行业协会商业车险综合示范条款（条款编号为</w:t>
      </w:r>
      <w:r>
        <w:rPr>
          <w:rFonts w:cs="仿宋_GB2312+FPEF" w:asciiTheme="minorEastAsia" w:hAnsiTheme="minorEastAsia"/>
          <w:kern w:val="0"/>
          <w:sz w:val="24"/>
          <w:szCs w:val="24"/>
        </w:rPr>
        <w:t>H201</w:t>
      </w:r>
      <w:r>
        <w:rPr>
          <w:rFonts w:hint="eastAsia" w:cs="仿宋_GB2312+FPEF" w:asciiTheme="minorEastAsia" w:hAnsiTheme="minorEastAsia"/>
          <w:kern w:val="0"/>
          <w:sz w:val="24"/>
          <w:szCs w:val="24"/>
        </w:rPr>
        <w:t>5102），包括：中国保险行业协会机动车综合商业保险示范条款，特种车综合商业保险示范条款，摩托车、拖拉机综合商业保险示范条款，机动车单程提车保险示范条款。</w:t>
      </w:r>
    </w:p>
    <w:p>
      <w:pPr>
        <w:autoSpaceDE w:val="0"/>
        <w:autoSpaceDN w:val="0"/>
        <w:adjustRightInd w:val="0"/>
        <w:spacing w:line="360" w:lineRule="auto"/>
        <w:ind w:firstLine="480" w:firstLineChars="200"/>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二、费率方案：商业车险保费＝基准纯风险保费</w:t>
      </w:r>
      <w:r>
        <w:rPr>
          <w:rFonts w:cs="仿宋_GB2312+FPEF" w:asciiTheme="minorEastAsia" w:hAnsiTheme="minorEastAsia"/>
          <w:kern w:val="0"/>
          <w:sz w:val="24"/>
          <w:szCs w:val="24"/>
        </w:rPr>
        <w:t>/</w:t>
      </w:r>
      <w:r>
        <w:rPr>
          <w:rFonts w:hint="eastAsia" w:cs="仿宋_GB2312+FPEF" w:asciiTheme="minorEastAsia" w:hAnsiTheme="minorEastAsia"/>
          <w:kern w:val="0"/>
          <w:sz w:val="24"/>
          <w:szCs w:val="24"/>
        </w:rPr>
        <w:t>（</w:t>
      </w:r>
      <w:r>
        <w:rPr>
          <w:rFonts w:cs="仿宋_GB2312+FPEF" w:asciiTheme="minorEastAsia" w:hAnsiTheme="minorEastAsia"/>
          <w:kern w:val="0"/>
          <w:sz w:val="24"/>
          <w:szCs w:val="24"/>
        </w:rPr>
        <w:t>1</w:t>
      </w:r>
      <w:r>
        <w:rPr>
          <w:rFonts w:hint="eastAsia" w:cs="仿宋_GB2312+FPEF" w:asciiTheme="minorEastAsia" w:hAnsiTheme="minorEastAsia"/>
          <w:kern w:val="0"/>
          <w:sz w:val="24"/>
          <w:szCs w:val="24"/>
        </w:rPr>
        <w:t>－附加费用率）×无赔款优待系数×交通违法系数×自主核保系数×自主渠道系数。</w:t>
      </w:r>
    </w:p>
    <w:p>
      <w:pPr>
        <w:autoSpaceDE w:val="0"/>
        <w:autoSpaceDN w:val="0"/>
        <w:adjustRightInd w:val="0"/>
        <w:spacing w:line="360" w:lineRule="auto"/>
        <w:ind w:firstLine="420"/>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（一）基准纯风险保费由中国保险行业协会统一制定、颁布并定期更新。</w:t>
      </w:r>
    </w:p>
    <w:p>
      <w:pPr>
        <w:autoSpaceDE w:val="0"/>
        <w:autoSpaceDN w:val="0"/>
        <w:adjustRightInd w:val="0"/>
        <w:spacing w:line="360" w:lineRule="auto"/>
        <w:ind w:firstLine="420"/>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（二）附加费用率预定为</w:t>
      </w:r>
      <w:r>
        <w:rPr>
          <w:rFonts w:cs="仿宋_GB2312+FPEF" w:asciiTheme="minorEastAsia" w:hAnsiTheme="minorEastAsia"/>
          <w:kern w:val="0"/>
          <w:sz w:val="24"/>
          <w:szCs w:val="24"/>
        </w:rPr>
        <w:t>35%</w:t>
      </w:r>
      <w:r>
        <w:rPr>
          <w:rFonts w:hint="eastAsia" w:cs="仿宋_GB2312+FPEF" w:asciiTheme="minorEastAsia" w:hAnsiTheme="minorEastAsia"/>
          <w:kern w:val="0"/>
          <w:sz w:val="24"/>
          <w:szCs w:val="24"/>
        </w:rPr>
        <w:t>。</w:t>
      </w:r>
    </w:p>
    <w:p>
      <w:pPr>
        <w:autoSpaceDE w:val="0"/>
        <w:autoSpaceDN w:val="0"/>
        <w:adjustRightInd w:val="0"/>
        <w:spacing w:line="360" w:lineRule="auto"/>
        <w:ind w:firstLine="420"/>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（三）无赔款优待系数是指保险公司根据投保客户历史出险次数而给予的费率上浮或下浮，具体见下表:</w:t>
      </w:r>
    </w:p>
    <w:tbl>
      <w:tblPr>
        <w:tblStyle w:val="5"/>
        <w:tblW w:w="6440" w:type="dxa"/>
        <w:jc w:val="center"/>
        <w:tblInd w:w="93" w:type="dxa"/>
        <w:tblLayout w:type="fixed"/>
        <w:tblCellMar>
          <w:top w:w="0" w:type="dxa"/>
          <w:left w:w="108" w:type="dxa"/>
          <w:bottom w:w="0" w:type="dxa"/>
          <w:right w:w="108" w:type="dxa"/>
        </w:tblCellMar>
      </w:tblPr>
      <w:tblGrid>
        <w:gridCol w:w="1840"/>
        <w:gridCol w:w="3380"/>
        <w:gridCol w:w="1220"/>
      </w:tblGrid>
      <w:tr>
        <w:tblPrEx>
          <w:tblLayout w:type="fixed"/>
          <w:tblCellMar>
            <w:top w:w="0" w:type="dxa"/>
            <w:left w:w="108" w:type="dxa"/>
            <w:bottom w:w="0" w:type="dxa"/>
            <w:right w:w="108" w:type="dxa"/>
          </w:tblCellMar>
        </w:tblPrEx>
        <w:trPr>
          <w:trHeight w:val="300"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w:t>
            </w:r>
          </w:p>
        </w:tc>
        <w:tc>
          <w:tcPr>
            <w:tcW w:w="3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内容</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系数</w:t>
            </w:r>
          </w:p>
        </w:tc>
      </w:tr>
      <w:tr>
        <w:tblPrEx>
          <w:tblLayout w:type="fixed"/>
          <w:tblCellMar>
            <w:top w:w="0" w:type="dxa"/>
            <w:left w:w="108" w:type="dxa"/>
            <w:bottom w:w="0" w:type="dxa"/>
            <w:right w:w="108" w:type="dxa"/>
          </w:tblCellMar>
        </w:tblPrEx>
        <w:trPr>
          <w:trHeight w:val="300" w:hRule="atLeast"/>
          <w:jc w:val="center"/>
        </w:trPr>
        <w:tc>
          <w:tcPr>
            <w:tcW w:w="1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无赔款优待及上年赔款记录</w:t>
            </w: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连续3年没有发生赔款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0.60</w:t>
            </w:r>
          </w:p>
        </w:tc>
      </w:tr>
      <w:tr>
        <w:tblPrEx>
          <w:tblLayout w:type="fixed"/>
          <w:tblCellMar>
            <w:top w:w="0" w:type="dxa"/>
            <w:left w:w="108" w:type="dxa"/>
            <w:bottom w:w="0" w:type="dxa"/>
            <w:right w:w="108" w:type="dxa"/>
          </w:tblCellMar>
        </w:tblPrEx>
        <w:trPr>
          <w:trHeight w:val="300" w:hRule="atLeast"/>
          <w:jc w:val="center"/>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连续2年没有发生赔款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0.70</w:t>
            </w:r>
          </w:p>
        </w:tc>
      </w:tr>
      <w:tr>
        <w:tblPrEx>
          <w:tblLayout w:type="fixed"/>
          <w:tblCellMar>
            <w:top w:w="0" w:type="dxa"/>
            <w:left w:w="108" w:type="dxa"/>
            <w:bottom w:w="0" w:type="dxa"/>
            <w:right w:w="108" w:type="dxa"/>
          </w:tblCellMar>
        </w:tblPrEx>
        <w:trPr>
          <w:trHeight w:val="300" w:hRule="atLeast"/>
          <w:jc w:val="center"/>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上年没有发生赔款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Layout w:type="fixed"/>
          <w:tblCellMar>
            <w:top w:w="0" w:type="dxa"/>
            <w:left w:w="108" w:type="dxa"/>
            <w:bottom w:w="0" w:type="dxa"/>
            <w:right w:w="108" w:type="dxa"/>
          </w:tblCellMar>
        </w:tblPrEx>
        <w:trPr>
          <w:trHeight w:val="300" w:hRule="atLeast"/>
          <w:jc w:val="center"/>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新保或上年发生1次赔款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Layout w:type="fixed"/>
          <w:tblCellMar>
            <w:top w:w="0" w:type="dxa"/>
            <w:left w:w="108" w:type="dxa"/>
            <w:bottom w:w="0" w:type="dxa"/>
            <w:right w:w="108" w:type="dxa"/>
          </w:tblCellMar>
        </w:tblPrEx>
        <w:trPr>
          <w:trHeight w:val="300" w:hRule="atLeast"/>
          <w:jc w:val="center"/>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上年发生2次赔款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1.25</w:t>
            </w:r>
          </w:p>
        </w:tc>
      </w:tr>
      <w:tr>
        <w:tblPrEx>
          <w:tblLayout w:type="fixed"/>
          <w:tblCellMar>
            <w:top w:w="0" w:type="dxa"/>
            <w:left w:w="108" w:type="dxa"/>
            <w:bottom w:w="0" w:type="dxa"/>
            <w:right w:w="108" w:type="dxa"/>
          </w:tblCellMar>
        </w:tblPrEx>
        <w:trPr>
          <w:trHeight w:val="300" w:hRule="atLeast"/>
          <w:jc w:val="center"/>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上年发生3次赔款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1.50</w:t>
            </w:r>
          </w:p>
        </w:tc>
      </w:tr>
      <w:tr>
        <w:tblPrEx>
          <w:tblLayout w:type="fixed"/>
          <w:tblCellMar>
            <w:top w:w="0" w:type="dxa"/>
            <w:left w:w="108" w:type="dxa"/>
            <w:bottom w:w="0" w:type="dxa"/>
            <w:right w:w="108" w:type="dxa"/>
          </w:tblCellMar>
        </w:tblPrEx>
        <w:trPr>
          <w:trHeight w:val="300" w:hRule="atLeast"/>
          <w:jc w:val="center"/>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上年发生4次赔款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1.75</w:t>
            </w:r>
          </w:p>
        </w:tc>
      </w:tr>
      <w:tr>
        <w:tblPrEx>
          <w:tblLayout w:type="fixed"/>
          <w:tblCellMar>
            <w:top w:w="0" w:type="dxa"/>
            <w:left w:w="108" w:type="dxa"/>
            <w:bottom w:w="0" w:type="dxa"/>
            <w:right w:w="108" w:type="dxa"/>
          </w:tblCellMar>
        </w:tblPrEx>
        <w:trPr>
          <w:trHeight w:val="300" w:hRule="atLeast"/>
          <w:jc w:val="center"/>
        </w:trPr>
        <w:tc>
          <w:tcPr>
            <w:tcW w:w="1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上年发生5次及以上赔款</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2.00</w:t>
            </w:r>
          </w:p>
        </w:tc>
      </w:tr>
    </w:tbl>
    <w:p>
      <w:pPr>
        <w:autoSpaceDE w:val="0"/>
        <w:autoSpaceDN w:val="0"/>
        <w:adjustRightInd w:val="0"/>
        <w:spacing w:line="360" w:lineRule="auto"/>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 xml:space="preserve">    （四）交通违法系数是指保险公司根据投保客户交通违法记录而给予一定的费率浮动，待相关政策制定后实施。</w:t>
      </w:r>
    </w:p>
    <w:p>
      <w:pPr>
        <w:autoSpaceDE w:val="0"/>
        <w:autoSpaceDN w:val="0"/>
        <w:adjustRightInd w:val="0"/>
        <w:spacing w:line="360" w:lineRule="auto"/>
        <w:ind w:firstLine="420"/>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（五）自主核保系数体现保险标的风险差异，风险越低自主核保系数越低,风险越高自主核保系数越高，最终定价体现高风险客户高折扣，低风险客户低折扣。</w:t>
      </w:r>
    </w:p>
    <w:p>
      <w:pPr>
        <w:autoSpaceDE w:val="0"/>
        <w:autoSpaceDN w:val="0"/>
        <w:adjustRightInd w:val="0"/>
        <w:spacing w:line="360" w:lineRule="auto"/>
        <w:ind w:firstLine="420"/>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（六）自主渠道系数体现不同渠道获取成本的差异，获取成本越低的渠道自主渠道系数越低，获取成本越高的渠道自主渠道系数越高。</w:t>
      </w:r>
    </w:p>
    <w:p>
      <w:pPr>
        <w:autoSpaceDE w:val="0"/>
        <w:autoSpaceDN w:val="0"/>
        <w:adjustRightInd w:val="0"/>
        <w:spacing w:line="360" w:lineRule="auto"/>
        <w:ind w:firstLine="480" w:firstLineChars="200"/>
        <w:jc w:val="left"/>
        <w:rPr>
          <w:rFonts w:cs="仿宋_GB2312+FPEF" w:asciiTheme="minorEastAsia" w:hAnsiTheme="minorEastAsia"/>
          <w:kern w:val="0"/>
          <w:sz w:val="24"/>
          <w:szCs w:val="24"/>
        </w:rPr>
      </w:pPr>
      <w:r>
        <w:rPr>
          <w:rFonts w:hint="eastAsia" w:ascii="宋体" w:hAnsi="宋体"/>
          <w:sz w:val="24"/>
          <w:szCs w:val="24"/>
        </w:rPr>
        <w:t>本公司将按照《保险法》等相关法律法规规章要求，依法使用上述商业车险 条款和费率，并做好客户服务，充分保护投保人、被保险人合法权益。</w:t>
      </w:r>
    </w:p>
    <w:p>
      <w:pPr>
        <w:autoSpaceDE w:val="0"/>
        <w:autoSpaceDN w:val="0"/>
        <w:adjustRightInd w:val="0"/>
        <w:spacing w:line="360" w:lineRule="auto"/>
        <w:ind w:firstLine="480" w:firstLineChars="200"/>
        <w:jc w:val="left"/>
        <w:rPr>
          <w:rFonts w:ascii="宋体" w:hAnsi="宋体"/>
          <w:sz w:val="24"/>
          <w:szCs w:val="24"/>
        </w:rPr>
      </w:pPr>
      <w:r>
        <w:rPr>
          <w:rFonts w:hint="eastAsia" w:ascii="宋体" w:hAnsi="宋体"/>
          <w:sz w:val="24"/>
          <w:szCs w:val="24"/>
        </w:rPr>
        <w:t>本公示从2018年8月31日开始，公示期为14天。预计从2018年9月15日开始，本公司按照公示的</w:t>
      </w:r>
      <w:r>
        <w:rPr>
          <w:rFonts w:hint="eastAsia" w:cs="仿宋_GB2312+FPEF" w:asciiTheme="minorEastAsia" w:hAnsiTheme="minorEastAsia"/>
          <w:kern w:val="0"/>
          <w:sz w:val="24"/>
          <w:szCs w:val="24"/>
        </w:rPr>
        <w:t>产品条款、费率开展机动车综合商业保险等产品经营。</w:t>
      </w:r>
    </w:p>
    <w:p>
      <w:pPr>
        <w:autoSpaceDE w:val="0"/>
        <w:autoSpaceDN w:val="0"/>
        <w:adjustRightInd w:val="0"/>
        <w:spacing w:line="360" w:lineRule="auto"/>
        <w:ind w:firstLine="420"/>
        <w:jc w:val="left"/>
        <w:rPr>
          <w:rFonts w:cs="仿宋_GB2312+FPEF" w:asciiTheme="minorEastAsia" w:hAnsiTheme="minorEastAsia"/>
          <w:color w:val="auto"/>
          <w:kern w:val="0"/>
          <w:sz w:val="24"/>
          <w:szCs w:val="24"/>
        </w:rPr>
      </w:pPr>
      <w:r>
        <w:rPr>
          <w:rFonts w:hint="eastAsia" w:cs="仿宋_GB2312+FPEF" w:asciiTheme="minorEastAsia" w:hAnsiTheme="minorEastAsia"/>
          <w:kern w:val="0"/>
          <w:sz w:val="24"/>
          <w:szCs w:val="24"/>
        </w:rPr>
        <w:t>公示联系电话：</w:t>
      </w:r>
      <w:r>
        <w:rPr>
          <w:rFonts w:cs="仿宋_GB2312+FPEF" w:asciiTheme="minorEastAsia" w:hAnsiTheme="minorEastAsia"/>
          <w:kern w:val="0"/>
          <w:sz w:val="24"/>
          <w:szCs w:val="24"/>
        </w:rPr>
        <w:t>0771</w:t>
      </w:r>
      <w:r>
        <w:rPr>
          <w:rFonts w:cs="仿宋_GB2312+FPEF" w:asciiTheme="minorEastAsia" w:hAnsiTheme="minorEastAsia"/>
          <w:color w:val="auto"/>
          <w:kern w:val="0"/>
          <w:sz w:val="24"/>
          <w:szCs w:val="24"/>
        </w:rPr>
        <w:t>-</w:t>
      </w:r>
      <w:r>
        <w:rPr>
          <w:rFonts w:hint="eastAsia" w:cs="仿宋_GB2312+FPEF" w:asciiTheme="minorEastAsia" w:hAnsiTheme="minorEastAsia"/>
          <w:color w:val="auto"/>
          <w:kern w:val="0"/>
          <w:sz w:val="24"/>
          <w:szCs w:val="24"/>
          <w:lang w:val="en-US" w:eastAsia="zh-CN"/>
        </w:rPr>
        <w:t>4606602</w:t>
      </w:r>
    </w:p>
    <w:p>
      <w:pPr>
        <w:autoSpaceDE w:val="0"/>
        <w:autoSpaceDN w:val="0"/>
        <w:adjustRightInd w:val="0"/>
        <w:spacing w:line="360" w:lineRule="auto"/>
        <w:ind w:firstLine="420"/>
        <w:jc w:val="left"/>
        <w:rPr>
          <w:rFonts w:cs="仿宋_GB2312+FPEF" w:asciiTheme="minorEastAsia" w:hAnsiTheme="minorEastAsia"/>
          <w:b/>
          <w:kern w:val="0"/>
          <w:sz w:val="24"/>
          <w:szCs w:val="24"/>
        </w:rPr>
      </w:pPr>
      <w:r>
        <w:rPr>
          <w:rFonts w:hint="eastAsia" w:cs="仿宋_GB2312+FPEF" w:asciiTheme="minorEastAsia" w:hAnsiTheme="minorEastAsia"/>
          <w:kern w:val="0"/>
          <w:sz w:val="24"/>
          <w:szCs w:val="24"/>
        </w:rPr>
        <w:t>特此公示！</w:t>
      </w:r>
    </w:p>
    <w:p>
      <w:pPr>
        <w:autoSpaceDE w:val="0"/>
        <w:autoSpaceDN w:val="0"/>
        <w:adjustRightInd w:val="0"/>
        <w:spacing w:line="360" w:lineRule="auto"/>
        <w:jc w:val="left"/>
        <w:rPr>
          <w:rFonts w:cs="仿宋_GB2312+FPEF" w:asciiTheme="minorEastAsia" w:hAnsiTheme="minorEastAsia"/>
          <w:b/>
          <w:kern w:val="0"/>
          <w:sz w:val="24"/>
          <w:szCs w:val="24"/>
        </w:rPr>
      </w:pPr>
      <w:r>
        <w:rPr>
          <w:rFonts w:hint="eastAsia" w:cs="仿宋_GB2312+FPEF" w:asciiTheme="minorEastAsia" w:hAnsiTheme="minorEastAsia"/>
          <w:b/>
          <w:kern w:val="0"/>
          <w:sz w:val="24"/>
          <w:szCs w:val="24"/>
        </w:rPr>
        <w:t xml:space="preserve">    </w:t>
      </w:r>
    </w:p>
    <w:p>
      <w:pPr>
        <w:autoSpaceDE w:val="0"/>
        <w:autoSpaceDN w:val="0"/>
        <w:adjustRightInd w:val="0"/>
        <w:spacing w:line="360" w:lineRule="auto"/>
        <w:ind w:firstLine="480"/>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附件：中国银保监会关于</w:t>
      </w:r>
      <w:r>
        <w:rPr>
          <w:rFonts w:hint="eastAsia" w:cs="仿宋_GB2312+FPEF" w:asciiTheme="minorEastAsia" w:hAnsiTheme="minorEastAsia"/>
          <w:b w:val="0"/>
          <w:bCs/>
          <w:color w:val="auto"/>
          <w:kern w:val="0"/>
          <w:sz w:val="24"/>
          <w:szCs w:val="24"/>
          <w:lang w:eastAsia="zh-CN"/>
        </w:rPr>
        <w:t>安盛天平</w:t>
      </w:r>
      <w:r>
        <w:rPr>
          <w:rFonts w:hint="eastAsia" w:cs="仿宋_GB2312+FPEF" w:asciiTheme="minorEastAsia" w:hAnsiTheme="minorEastAsia"/>
          <w:kern w:val="0"/>
          <w:sz w:val="24"/>
          <w:szCs w:val="24"/>
        </w:rPr>
        <w:t>财产保险股份有限公司机动车综合商业保险等条款和费率的批复（银保监许可〔2018〕</w:t>
      </w:r>
      <w:r>
        <w:rPr>
          <w:rFonts w:hint="eastAsia" w:cs="仿宋_GB2312+FPEF" w:asciiTheme="minorEastAsia" w:hAnsiTheme="minorEastAsia"/>
          <w:b w:val="0"/>
          <w:bCs/>
          <w:color w:val="auto"/>
          <w:kern w:val="0"/>
          <w:sz w:val="24"/>
          <w:szCs w:val="24"/>
          <w:lang w:val="en-US" w:eastAsia="zh-CN"/>
        </w:rPr>
        <w:t>764</w:t>
      </w:r>
      <w:r>
        <w:rPr>
          <w:rFonts w:hint="eastAsia" w:cs="仿宋_GB2312+FPEF" w:asciiTheme="minorEastAsia" w:hAnsiTheme="minorEastAsia"/>
          <w:kern w:val="0"/>
          <w:sz w:val="24"/>
          <w:szCs w:val="24"/>
        </w:rPr>
        <w:t>号）</w:t>
      </w:r>
    </w:p>
    <w:p>
      <w:pPr>
        <w:autoSpaceDE w:val="0"/>
        <w:autoSpaceDN w:val="0"/>
        <w:adjustRightInd w:val="0"/>
        <w:spacing w:line="360" w:lineRule="auto"/>
        <w:ind w:firstLine="480"/>
        <w:jc w:val="left"/>
        <w:rPr>
          <w:rFonts w:cs="仿宋_GB2312+FPEF" w:asciiTheme="minorEastAsia" w:hAnsiTheme="minorEastAsia"/>
          <w:kern w:val="0"/>
          <w:sz w:val="24"/>
          <w:szCs w:val="24"/>
        </w:rPr>
      </w:pPr>
    </w:p>
    <w:p>
      <w:pPr>
        <w:autoSpaceDE w:val="0"/>
        <w:autoSpaceDN w:val="0"/>
        <w:adjustRightInd w:val="0"/>
        <w:spacing w:line="360" w:lineRule="auto"/>
        <w:ind w:firstLine="480"/>
        <w:jc w:val="left"/>
        <w:rPr>
          <w:rFonts w:cs="仿宋_GB2312+FPEF" w:asciiTheme="minorEastAsia" w:hAnsiTheme="minorEastAsia"/>
          <w:b/>
          <w:kern w:val="0"/>
          <w:sz w:val="24"/>
          <w:szCs w:val="24"/>
        </w:rPr>
      </w:pPr>
    </w:p>
    <w:p>
      <w:pPr>
        <w:autoSpaceDE w:val="0"/>
        <w:autoSpaceDN w:val="0"/>
        <w:adjustRightInd w:val="0"/>
        <w:spacing w:line="360" w:lineRule="auto"/>
        <w:jc w:val="right"/>
        <w:rPr>
          <w:rFonts w:cs="仿宋_GB2312+FPEF" w:asciiTheme="minorEastAsia" w:hAnsiTheme="minorEastAsia"/>
          <w:kern w:val="0"/>
          <w:sz w:val="24"/>
          <w:szCs w:val="24"/>
        </w:rPr>
      </w:pPr>
      <w:bookmarkStart w:id="0" w:name="_GoBack"/>
      <w:r>
        <w:rPr>
          <w:rFonts w:hint="eastAsia" w:cs="仿宋_GB2312+FPEF" w:asciiTheme="minorEastAsia" w:hAnsiTheme="minorEastAsia"/>
          <w:color w:val="auto"/>
          <w:kern w:val="0"/>
          <w:sz w:val="24"/>
          <w:szCs w:val="24"/>
          <w:lang w:eastAsia="zh-CN"/>
        </w:rPr>
        <w:t>安盛天平</w:t>
      </w:r>
      <w:bookmarkEnd w:id="0"/>
      <w:r>
        <w:rPr>
          <w:rFonts w:hint="eastAsia" w:cs="仿宋_GB2312+FPEF" w:asciiTheme="minorEastAsia" w:hAnsiTheme="minorEastAsia"/>
          <w:kern w:val="0"/>
          <w:sz w:val="24"/>
          <w:szCs w:val="24"/>
        </w:rPr>
        <w:t>财产保险股份有限公司广西分公司</w:t>
      </w:r>
    </w:p>
    <w:p>
      <w:pPr>
        <w:autoSpaceDE w:val="0"/>
        <w:autoSpaceDN w:val="0"/>
        <w:adjustRightInd w:val="0"/>
        <w:spacing w:line="360" w:lineRule="auto"/>
        <w:jc w:val="left"/>
        <w:rPr>
          <w:rFonts w:cs="仿宋_GB2312+FPEF" w:asciiTheme="minorEastAsia" w:hAnsiTheme="minorEastAsia"/>
          <w:kern w:val="0"/>
          <w:sz w:val="24"/>
          <w:szCs w:val="24"/>
        </w:rPr>
      </w:pPr>
      <w:r>
        <w:rPr>
          <w:rFonts w:hint="eastAsia" w:cs="仿宋_GB2312+FPEF" w:asciiTheme="minorEastAsia" w:hAnsiTheme="minorEastAsia"/>
          <w:kern w:val="0"/>
          <w:sz w:val="24"/>
          <w:szCs w:val="24"/>
        </w:rPr>
        <w:t xml:space="preserve">                                                 2018年8月30日</w:t>
      </w:r>
    </w:p>
    <w:p>
      <w:pPr>
        <w:autoSpaceDE w:val="0"/>
        <w:autoSpaceDN w:val="0"/>
        <w:adjustRightInd w:val="0"/>
        <w:spacing w:line="360" w:lineRule="auto"/>
        <w:ind w:firstLine="420"/>
        <w:jc w:val="left"/>
        <w:rPr>
          <w:rFonts w:cs="仿宋_GB2312+FPEF" w:asciiTheme="minorEastAsia" w:hAnsiTheme="minorEastAsia"/>
          <w:kern w:val="0"/>
          <w:sz w:val="24"/>
          <w:szCs w:val="24"/>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FPEF">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74C9"/>
    <w:rsid w:val="000453A7"/>
    <w:rsid w:val="000A08A5"/>
    <w:rsid w:val="0011053D"/>
    <w:rsid w:val="001544E7"/>
    <w:rsid w:val="00257634"/>
    <w:rsid w:val="002E1E02"/>
    <w:rsid w:val="002F13BB"/>
    <w:rsid w:val="003C1902"/>
    <w:rsid w:val="004A0B04"/>
    <w:rsid w:val="005016CF"/>
    <w:rsid w:val="0050341D"/>
    <w:rsid w:val="00510ECD"/>
    <w:rsid w:val="00584984"/>
    <w:rsid w:val="006F545A"/>
    <w:rsid w:val="00764375"/>
    <w:rsid w:val="007A390B"/>
    <w:rsid w:val="00826BE3"/>
    <w:rsid w:val="0083342B"/>
    <w:rsid w:val="00861667"/>
    <w:rsid w:val="0087401E"/>
    <w:rsid w:val="008848D6"/>
    <w:rsid w:val="008F3620"/>
    <w:rsid w:val="00903E24"/>
    <w:rsid w:val="009077EC"/>
    <w:rsid w:val="0091173B"/>
    <w:rsid w:val="009823C3"/>
    <w:rsid w:val="009C74C9"/>
    <w:rsid w:val="00A75214"/>
    <w:rsid w:val="00AF3F91"/>
    <w:rsid w:val="00B1679C"/>
    <w:rsid w:val="00B73285"/>
    <w:rsid w:val="00B8069C"/>
    <w:rsid w:val="00B93C7E"/>
    <w:rsid w:val="00BE0F58"/>
    <w:rsid w:val="00C5067B"/>
    <w:rsid w:val="00C67216"/>
    <w:rsid w:val="00CA5B37"/>
    <w:rsid w:val="00CE6EEF"/>
    <w:rsid w:val="00E912AD"/>
    <w:rsid w:val="00ED6141"/>
    <w:rsid w:val="00EF7001"/>
    <w:rsid w:val="00F941C6"/>
    <w:rsid w:val="00FD45BC"/>
    <w:rsid w:val="0A0A3CA4"/>
    <w:rsid w:val="21CC0C5A"/>
    <w:rsid w:val="272E31F4"/>
    <w:rsid w:val="3D1A37FB"/>
    <w:rsid w:val="542154E9"/>
    <w:rsid w:val="57E953B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2</Pages>
  <Words>162</Words>
  <Characters>928</Characters>
  <Lines>7</Lines>
  <Paragraphs>2</Paragraphs>
  <TotalTime>0</TotalTime>
  <ScaleCrop>false</ScaleCrop>
  <LinksUpToDate>false</LinksUpToDate>
  <CharactersWithSpaces>1088</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2018-08-30T02:10:00Z</dcterms:created>
  <dc:creator>Localadmin</dc:creator>
  <cp:lastModifiedBy>xiaoming.liu</cp:lastModifiedBy>
  <dcterms:modified xsi:type="dcterms:W3CDTF">2018-08-31T01:30:46Z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